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61275" w14:textId="0B24355B" w:rsidR="009A5491" w:rsidRPr="009A5491" w:rsidRDefault="009A5491" w:rsidP="009A5491">
      <w:pPr>
        <w:spacing w:before="100" w:beforeAutospacing="1" w:after="100" w:afterAutospacing="1"/>
        <w:jc w:val="left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/>
          <w14:ligatures w14:val="none"/>
        </w:rPr>
        <w:t xml:space="preserve">Gender Expert </w:t>
      </w:r>
      <w:r w:rsidR="00347CD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- </w:t>
      </w:r>
      <w:r w:rsidRPr="009A549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/>
          <w14:ligatures w14:val="none"/>
        </w:rPr>
        <w:t>Consultant</w:t>
      </w:r>
    </w:p>
    <w:p w14:paraId="268EED2B" w14:textId="2ED6B6D3" w:rsidR="009A5491" w:rsidRPr="009A5491" w:rsidRDefault="009A5491" w:rsidP="009A5491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Position Title: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 Gender Expert Consultant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br/>
      </w:r>
      <w:r w:rsidRPr="009A5491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Engagement Type: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 On-Call, Assignment-Based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br/>
      </w:r>
      <w:r w:rsidRPr="009A5491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Location: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 Remote and/or Field-Based (depending on assignment)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br/>
      </w:r>
      <w:r w:rsidRPr="009A5491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Preferred Profiles: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 Experts with demonstrated professional experience or research work related to Syria, Iraq, or Europe, including strong contextual, cultural, or linguistic knowledge of these regions.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br/>
      </w:r>
      <w:r w:rsidRPr="009A5491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Duration: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 As per assignment (short to medium-term)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br/>
      </w:r>
      <w:r w:rsidRPr="009A5491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Report to: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 Ektimisi Projects and Reporting Specialist</w:t>
      </w:r>
    </w:p>
    <w:p w14:paraId="542D5C38" w14:textId="77777777" w:rsidR="009A5491" w:rsidRPr="009A5491" w:rsidRDefault="009A5491" w:rsidP="009A5491">
      <w:pPr>
        <w:spacing w:before="100" w:beforeAutospacing="1" w:after="100" w:afterAutospacing="1"/>
        <w:jc w:val="left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/>
          <w14:ligatures w14:val="none"/>
        </w:rPr>
        <w:t>About Ektimisi</w:t>
      </w:r>
    </w:p>
    <w:p w14:paraId="6B37A2C3" w14:textId="77777777" w:rsidR="009A5491" w:rsidRPr="009A5491" w:rsidRDefault="009A5491" w:rsidP="009A5491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>Ektimisi is a MENA-based research and development consulting firm providing services across the Middle East and Eastern Europe. Our core areas include evaluations, third-party monitoring, research, capacity building, economic empowerment, governance, and digital transformation. We work with NGOs, INGOs, donors, and research bodies to deliver technically sound and context-sensitive assignments.</w:t>
      </w:r>
    </w:p>
    <w:p w14:paraId="506C0B8C" w14:textId="77777777" w:rsidR="009A5491" w:rsidRPr="009A5491" w:rsidRDefault="009A5491" w:rsidP="009A5491">
      <w:pPr>
        <w:spacing w:before="100" w:beforeAutospacing="1" w:after="100" w:afterAutospacing="1"/>
        <w:jc w:val="left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/>
          <w14:ligatures w14:val="none"/>
        </w:rPr>
        <w:t>Background</w:t>
      </w:r>
    </w:p>
    <w:p w14:paraId="5C03EBAD" w14:textId="70338526" w:rsidR="009A5491" w:rsidRPr="009A5491" w:rsidRDefault="009A5491" w:rsidP="009A5491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Ektimisi is expanding its pool of Gender Experts to support a growing number of assignments across Syria, Iraq, </w:t>
      </w:r>
      <w:r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Ukraine 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>and other relevant contexts. We are seeking qualified consultants with solid humanitarian experience and strong technical capacity in gender equality, women’s empowerment, GBV, and gender mainstreaming. This is a short-term, assignment-based consultancy and does not constitute full-time employment.</w:t>
      </w:r>
    </w:p>
    <w:p w14:paraId="1D752251" w14:textId="77777777" w:rsidR="009A5491" w:rsidRPr="009A5491" w:rsidRDefault="009A5491" w:rsidP="009A5491">
      <w:pPr>
        <w:spacing w:before="100" w:beforeAutospacing="1" w:after="100" w:afterAutospacing="1"/>
        <w:jc w:val="left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/>
          <w14:ligatures w14:val="none"/>
        </w:rPr>
        <w:t>Key Responsibilities / Deliverables</w:t>
      </w:r>
    </w:p>
    <w:p w14:paraId="31B2486E" w14:textId="77777777" w:rsidR="009A5491" w:rsidRPr="009A5491" w:rsidRDefault="009A5491" w:rsidP="009A5491">
      <w:pPr>
        <w:numPr>
          <w:ilvl w:val="0"/>
          <w:numId w:val="15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Conduct gender analysis relevant to humanitarian, recovery, and development assignments. </w:t>
      </w:r>
    </w:p>
    <w:p w14:paraId="1F9176FC" w14:textId="77777777" w:rsidR="009A5491" w:rsidRPr="009A5491" w:rsidRDefault="009A5491" w:rsidP="009A5491">
      <w:pPr>
        <w:numPr>
          <w:ilvl w:val="0"/>
          <w:numId w:val="15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Develop and review gender-sensitive and gender-responsive methodologies for assessments, evaluations, research, third-party monitoring, and capacity-building assignments. </w:t>
      </w:r>
    </w:p>
    <w:p w14:paraId="2A8E5EEA" w14:textId="77777777" w:rsidR="009A5491" w:rsidRPr="009A5491" w:rsidRDefault="009A5491" w:rsidP="009A5491">
      <w:pPr>
        <w:numPr>
          <w:ilvl w:val="0"/>
          <w:numId w:val="15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Design and refine gender data collection tools, including surveys, KIIs, FGDs, observation checklists, and other qualitative and quantitative instruments. </w:t>
      </w:r>
    </w:p>
    <w:p w14:paraId="32DC07C8" w14:textId="77777777" w:rsidR="009A5491" w:rsidRPr="009A5491" w:rsidRDefault="009A5491" w:rsidP="009A5491">
      <w:pPr>
        <w:numPr>
          <w:ilvl w:val="0"/>
          <w:numId w:val="15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Develop gender analysis frameworks, indicator matrices, and analytical approaches for sectoral and multi-sectoral assignments. </w:t>
      </w:r>
    </w:p>
    <w:p w14:paraId="3E235627" w14:textId="77777777" w:rsidR="009A5491" w:rsidRPr="009A5491" w:rsidRDefault="009A5491" w:rsidP="009A5491">
      <w:pPr>
        <w:numPr>
          <w:ilvl w:val="0"/>
          <w:numId w:val="15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Draft technical inputs related to gender equality, women’s empowerment, GBV, protection mainstreaming, inclusion, participation, and safeguarding. </w:t>
      </w:r>
    </w:p>
    <w:p w14:paraId="6CACEF7B" w14:textId="77777777" w:rsidR="009A5491" w:rsidRPr="009A5491" w:rsidRDefault="009A5491" w:rsidP="009A5491">
      <w:pPr>
        <w:numPr>
          <w:ilvl w:val="0"/>
          <w:numId w:val="15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Produce gender action plans, gender analyses, technical briefs, and other assignment-specific gender deliverables. </w:t>
      </w:r>
    </w:p>
    <w:p w14:paraId="416C2F4E" w14:textId="77777777" w:rsidR="009A5491" w:rsidRPr="009A5491" w:rsidRDefault="009A5491" w:rsidP="009A5491">
      <w:pPr>
        <w:numPr>
          <w:ilvl w:val="0"/>
          <w:numId w:val="15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Review findings, reports, and recommendations to ensure sound gender analysis, practical relevance, and context-sensitive interpretation. </w:t>
      </w:r>
    </w:p>
    <w:p w14:paraId="6E5F9348" w14:textId="77777777" w:rsidR="009A5491" w:rsidRPr="009A5491" w:rsidRDefault="009A5491" w:rsidP="009A5491">
      <w:pPr>
        <w:numPr>
          <w:ilvl w:val="0"/>
          <w:numId w:val="15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lastRenderedPageBreak/>
        <w:t xml:space="preserve">Provide technical guidance to analysts, field teams, and project staff on gender-sensitive and safe data collection practices. </w:t>
      </w:r>
    </w:p>
    <w:p w14:paraId="63A22A17" w14:textId="77777777" w:rsidR="009A5491" w:rsidRPr="009A5491" w:rsidRDefault="009A5491" w:rsidP="009A5491">
      <w:pPr>
        <w:numPr>
          <w:ilvl w:val="0"/>
          <w:numId w:val="15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Design and deliver training, orientation, or capacity-building sessions on gender concepts, gender mainstreaming, and ethical field engagement when required. </w:t>
      </w:r>
    </w:p>
    <w:p w14:paraId="5F3594A3" w14:textId="77777777" w:rsidR="009A5491" w:rsidRPr="009A5491" w:rsidRDefault="009A5491" w:rsidP="009A5491">
      <w:pPr>
        <w:numPr>
          <w:ilvl w:val="0"/>
          <w:numId w:val="15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Participate in technical meetings with Ektimisi, clients, and partners to provide thematic guidance and respond to sector-specific questions. </w:t>
      </w:r>
    </w:p>
    <w:p w14:paraId="25941AB7" w14:textId="77777777" w:rsidR="009A5491" w:rsidRPr="009A5491" w:rsidRDefault="009A5491" w:rsidP="009A5491">
      <w:pPr>
        <w:numPr>
          <w:ilvl w:val="0"/>
          <w:numId w:val="15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Uphold ethical standards, confidentiality, safeguarding principles, and data protection requirements across all inputs. </w:t>
      </w:r>
    </w:p>
    <w:p w14:paraId="3DD1AEBB" w14:textId="77777777" w:rsidR="009A5491" w:rsidRPr="009A5491" w:rsidRDefault="009A5491" w:rsidP="009A5491">
      <w:pPr>
        <w:spacing w:before="100" w:beforeAutospacing="1" w:after="100" w:afterAutospacing="1"/>
        <w:jc w:val="left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/>
          <w14:ligatures w14:val="none"/>
        </w:rPr>
        <w:t>Minimum Qualifications</w:t>
      </w:r>
    </w:p>
    <w:p w14:paraId="30290404" w14:textId="77777777" w:rsidR="009A5491" w:rsidRPr="009A5491" w:rsidRDefault="009A5491" w:rsidP="009A5491">
      <w:pPr>
        <w:numPr>
          <w:ilvl w:val="0"/>
          <w:numId w:val="16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Minimum </w:t>
      </w:r>
      <w:r w:rsidRPr="009A5491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4 years of professional experience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 in gender-related work in the humanitarian field. </w:t>
      </w:r>
    </w:p>
    <w:p w14:paraId="308BDD41" w14:textId="77777777" w:rsidR="009A5491" w:rsidRPr="009A5491" w:rsidRDefault="009A5491" w:rsidP="009A5491">
      <w:pPr>
        <w:numPr>
          <w:ilvl w:val="0"/>
          <w:numId w:val="16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Demonstrated experience in one or more of the following: </w:t>
      </w:r>
      <w:r w:rsidRPr="009A5491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gender equality, women’s empowerment, GBV, protection mainstreaming, gender analysis, or inclusion-focused programming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. </w:t>
      </w:r>
    </w:p>
    <w:p w14:paraId="00B3CB40" w14:textId="77777777" w:rsidR="009A5491" w:rsidRPr="009A5491" w:rsidRDefault="009A5491" w:rsidP="009A5491">
      <w:pPr>
        <w:numPr>
          <w:ilvl w:val="0"/>
          <w:numId w:val="16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Proven ability to develop </w:t>
      </w:r>
      <w:r w:rsidRPr="009A5491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gender data collection tools, gender action plans, analytical frameworks, and technical gender deliverables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. </w:t>
      </w:r>
    </w:p>
    <w:p w14:paraId="0C89186A" w14:textId="77777777" w:rsidR="009A5491" w:rsidRPr="009A5491" w:rsidRDefault="009A5491" w:rsidP="009A5491">
      <w:pPr>
        <w:numPr>
          <w:ilvl w:val="0"/>
          <w:numId w:val="16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Previous experience contributing to </w:t>
      </w:r>
      <w:r w:rsidRPr="009A5491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assessments, evaluations, research, third-party monitoring, or capacity-building assignments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. </w:t>
      </w:r>
    </w:p>
    <w:p w14:paraId="027A5CE6" w14:textId="77777777" w:rsidR="009A5491" w:rsidRPr="009A5491" w:rsidRDefault="009A5491" w:rsidP="009A5491">
      <w:pPr>
        <w:numPr>
          <w:ilvl w:val="0"/>
          <w:numId w:val="16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Fluency in English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 with strong writing and editing skills. </w:t>
      </w:r>
    </w:p>
    <w:p w14:paraId="2B4A9FFC" w14:textId="3850B44C" w:rsidR="009A5491" w:rsidRPr="009A5491" w:rsidRDefault="009A5491" w:rsidP="009A5491">
      <w:pPr>
        <w:numPr>
          <w:ilvl w:val="0"/>
          <w:numId w:val="16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 xml:space="preserve">(Highly Desirable) </w:t>
      </w:r>
      <w:r w:rsidRPr="009A5491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Strong command of Arabic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, spoken and written. </w:t>
      </w:r>
    </w:p>
    <w:p w14:paraId="68E86020" w14:textId="77777777" w:rsidR="009A5491" w:rsidRPr="009A5491" w:rsidRDefault="009A5491" w:rsidP="009A5491">
      <w:pPr>
        <w:numPr>
          <w:ilvl w:val="0"/>
          <w:numId w:val="16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Relevant university degree in gender studies, social sciences, development studies, international relations, sociology, psychology, law, or another related field. </w:t>
      </w:r>
    </w:p>
    <w:p w14:paraId="35BC8F18" w14:textId="77777777" w:rsidR="009A5491" w:rsidRPr="009A5491" w:rsidRDefault="009A5491" w:rsidP="009A5491">
      <w:pPr>
        <w:numPr>
          <w:ilvl w:val="0"/>
          <w:numId w:val="16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Strong time management and ability to meet deadlines under assignment-based consultancy arrangements. </w:t>
      </w:r>
    </w:p>
    <w:p w14:paraId="1DCA5753" w14:textId="77777777" w:rsidR="009A5491" w:rsidRPr="009A5491" w:rsidRDefault="009A5491" w:rsidP="009A5491">
      <w:pPr>
        <w:spacing w:before="100" w:beforeAutospacing="1" w:after="100" w:afterAutospacing="1"/>
        <w:jc w:val="left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/>
          <w14:ligatures w14:val="none"/>
        </w:rPr>
        <w:t>Preferred Qualifications</w:t>
      </w:r>
    </w:p>
    <w:p w14:paraId="7684C931" w14:textId="77777777" w:rsidR="009A5491" w:rsidRPr="009A5491" w:rsidRDefault="009A5491" w:rsidP="009A5491">
      <w:pPr>
        <w:numPr>
          <w:ilvl w:val="0"/>
          <w:numId w:val="17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Based in, originally from, or with strong professional experience in </w:t>
      </w:r>
      <w:r w:rsidRPr="009A5491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Syria, Iraq, or Europe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. </w:t>
      </w:r>
    </w:p>
    <w:p w14:paraId="5F2745EC" w14:textId="77777777" w:rsidR="009A5491" w:rsidRPr="009A5491" w:rsidRDefault="009A5491" w:rsidP="009A5491">
      <w:pPr>
        <w:numPr>
          <w:ilvl w:val="0"/>
          <w:numId w:val="17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Previous experience with consultancies, INGOs, UN agencies, donors, or research firms. </w:t>
      </w:r>
    </w:p>
    <w:p w14:paraId="00B268F2" w14:textId="77777777" w:rsidR="009A5491" w:rsidRPr="009A5491" w:rsidRDefault="009A5491" w:rsidP="009A5491">
      <w:pPr>
        <w:numPr>
          <w:ilvl w:val="0"/>
          <w:numId w:val="17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Familiarity with humanitarian standards and approaches related to </w:t>
      </w:r>
      <w:r w:rsidRPr="009A5491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safeguarding, Do No Harm, ethical data collection, and confidentiality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. </w:t>
      </w:r>
    </w:p>
    <w:p w14:paraId="5770C934" w14:textId="77777777" w:rsidR="009A5491" w:rsidRPr="009A5491" w:rsidRDefault="009A5491" w:rsidP="009A5491">
      <w:pPr>
        <w:numPr>
          <w:ilvl w:val="0"/>
          <w:numId w:val="17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Experience integrating gender across sectors such as protection, livelihoods, MHPSS, governance, social cohesion, or economic empowerment. </w:t>
      </w:r>
    </w:p>
    <w:p w14:paraId="1CE3C010" w14:textId="77777777" w:rsidR="009A5491" w:rsidRPr="009A5491" w:rsidRDefault="009A5491" w:rsidP="009A5491">
      <w:pPr>
        <w:numPr>
          <w:ilvl w:val="0"/>
          <w:numId w:val="17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Experience facilitating training or mentoring teams on gender-sensitive approaches. </w:t>
      </w:r>
    </w:p>
    <w:p w14:paraId="684BE187" w14:textId="77777777" w:rsidR="009A5491" w:rsidRPr="009A5491" w:rsidRDefault="009A5491" w:rsidP="009A5491">
      <w:pPr>
        <w:spacing w:before="100" w:beforeAutospacing="1" w:after="100" w:afterAutospacing="1"/>
        <w:jc w:val="left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/>
          <w14:ligatures w14:val="none"/>
        </w:rPr>
        <w:t>Working Arrangement</w:t>
      </w:r>
    </w:p>
    <w:p w14:paraId="4217EF54" w14:textId="3CDFDAA8" w:rsidR="009A5491" w:rsidRPr="009A5491" w:rsidRDefault="009A5491" w:rsidP="009A5491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Engagements are short-term and assignment-based. Selected experts may be contacted for specific opportunities depending on technical relevance, availability, and assignment requirements. Inclusion in the </w:t>
      </w:r>
      <w:r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pool of experts 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>does not guarantee immediate engagement.</w:t>
      </w:r>
    </w:p>
    <w:p w14:paraId="55FBFB0A" w14:textId="77777777" w:rsidR="009A5491" w:rsidRPr="009A5491" w:rsidRDefault="009A5491" w:rsidP="009A5491">
      <w:pPr>
        <w:spacing w:before="100" w:beforeAutospacing="1" w:after="100" w:afterAutospacing="1"/>
        <w:jc w:val="left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/>
          <w14:ligatures w14:val="none"/>
        </w:rPr>
        <w:t>How to Apply</w:t>
      </w:r>
    </w:p>
    <w:p w14:paraId="3EDA9882" w14:textId="77777777" w:rsidR="009A5491" w:rsidRDefault="009A5491" w:rsidP="009A5491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lastRenderedPageBreak/>
        <w:t xml:space="preserve">Interested candidates must submit their application </w:t>
      </w:r>
      <w:r w:rsidRPr="009A5491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only through the designated application link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. </w:t>
      </w:r>
      <w:r w:rsidRPr="009A5491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Applications submitted through any other channel will not be accepted.</w:t>
      </w:r>
    </w:p>
    <w:p w14:paraId="1EF4596D" w14:textId="114E7AE7" w:rsidR="000623F7" w:rsidRDefault="00000000" w:rsidP="009A5491">
      <w:pPr>
        <w:spacing w:before="100" w:beforeAutospacing="1" w:after="100" w:afterAutospacing="1"/>
        <w:jc w:val="left"/>
      </w:pPr>
      <w:hyperlink r:id="rId11" w:history="1">
        <w:r w:rsidR="000623F7" w:rsidRPr="0060121C">
          <w:rPr>
            <w:rStyle w:val="Hyperlink"/>
          </w:rPr>
          <w:t>https://forms.gle/13rbY1R2bzKFtvM59</w:t>
        </w:r>
      </w:hyperlink>
      <w:r w:rsidR="000623F7">
        <w:t xml:space="preserve"> </w:t>
      </w:r>
      <w:r w:rsidR="000623F7" w:rsidRPr="000623F7">
        <w:t xml:space="preserve"> </w:t>
      </w:r>
    </w:p>
    <w:p w14:paraId="63197FF4" w14:textId="3067F37A" w:rsidR="009A5491" w:rsidRPr="009A5491" w:rsidRDefault="009A5491" w:rsidP="009A5491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>Applicants are required to adhere to the following:</w:t>
      </w:r>
    </w:p>
    <w:p w14:paraId="644E8D7A" w14:textId="77777777" w:rsidR="009A5491" w:rsidRPr="009A5491" w:rsidRDefault="009A5491" w:rsidP="009A5491">
      <w:pPr>
        <w:numPr>
          <w:ilvl w:val="0"/>
          <w:numId w:val="18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Submit a </w:t>
      </w:r>
      <w:r w:rsidRPr="009A5491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CV of maximum 3 pages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. </w:t>
      </w:r>
    </w:p>
    <w:p w14:paraId="3496795B" w14:textId="016F8ECB" w:rsidR="009A5491" w:rsidRPr="009A5491" w:rsidRDefault="009A5491" w:rsidP="009A5491">
      <w:pPr>
        <w:numPr>
          <w:ilvl w:val="0"/>
          <w:numId w:val="18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Clearly indicate the </w:t>
      </w:r>
      <w:r w:rsidRPr="009A5491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current country of residence and full resident address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 xml:space="preserve"> (Country &amp; City)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 in the CV. </w:t>
      </w:r>
    </w:p>
    <w:p w14:paraId="0BBA7174" w14:textId="77777777" w:rsidR="009A5491" w:rsidRPr="009A5491" w:rsidRDefault="009A5491" w:rsidP="009A5491">
      <w:pPr>
        <w:numPr>
          <w:ilvl w:val="0"/>
          <w:numId w:val="18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List professional experience in </w:t>
      </w:r>
      <w:r w:rsidRPr="009A5491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reverse chronological order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, starting with the </w:t>
      </w:r>
      <w:r w:rsidRPr="009A5491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most recent consultancy assignment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. </w:t>
      </w:r>
    </w:p>
    <w:p w14:paraId="0A9F1702" w14:textId="77777777" w:rsidR="009A5491" w:rsidRPr="009A5491" w:rsidRDefault="009A5491" w:rsidP="009A5491">
      <w:pPr>
        <w:numPr>
          <w:ilvl w:val="0"/>
          <w:numId w:val="18"/>
        </w:num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Highlight experience relevant to </w:t>
      </w:r>
      <w:r w:rsidRPr="009A5491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gender-related work in the humanitarian and development field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. </w:t>
      </w:r>
    </w:p>
    <w:p w14:paraId="14424D1E" w14:textId="77777777" w:rsidR="009A5491" w:rsidRPr="009A5491" w:rsidRDefault="009A5491" w:rsidP="009A5491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Please note that this is </w:t>
      </w:r>
      <w:r w:rsidRPr="009A5491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not a full-time position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. It is a </w:t>
      </w:r>
      <w:r w:rsidRPr="009A5491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consultancy-based engagement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, and selected experts will be contracted </w:t>
      </w:r>
      <w:r w:rsidRPr="009A5491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based on project needs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. Payment will be made </w:t>
      </w:r>
      <w:r w:rsidRPr="009A5491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based on agreed deliverables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>, in line with the terms of each assignment.</w:t>
      </w:r>
    </w:p>
    <w:p w14:paraId="4E9543E0" w14:textId="77777777" w:rsidR="009A5491" w:rsidRPr="009A5491" w:rsidRDefault="009A5491" w:rsidP="009A5491">
      <w:pPr>
        <w:spacing w:before="100" w:beforeAutospacing="1" w:after="100" w:afterAutospacing="1"/>
        <w:jc w:val="left"/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</w:pP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 xml:space="preserve">Applications will be reviewed on a </w:t>
      </w:r>
      <w:r w:rsidRPr="009A5491">
        <w:rPr>
          <w:rFonts w:ascii="Times New Roman" w:eastAsia="Times New Roman" w:hAnsi="Times New Roman" w:cs="Times New Roman"/>
          <w:b/>
          <w:bCs/>
          <w:kern w:val="0"/>
          <w:sz w:val="24"/>
          <w:lang/>
          <w14:ligatures w14:val="none"/>
        </w:rPr>
        <w:t>rolling basis</w:t>
      </w:r>
      <w:r w:rsidRPr="009A5491">
        <w:rPr>
          <w:rFonts w:ascii="Times New Roman" w:eastAsia="Times New Roman" w:hAnsi="Times New Roman" w:cs="Times New Roman"/>
          <w:kern w:val="0"/>
          <w:sz w:val="24"/>
          <w:lang/>
          <w14:ligatures w14:val="none"/>
        </w:rPr>
        <w:t>. Only shortlisted candidates will be contacted.</w:t>
      </w:r>
    </w:p>
    <w:p w14:paraId="586AA8AA" w14:textId="77777777" w:rsidR="00E6011B" w:rsidRPr="009A5491" w:rsidRDefault="00E6011B" w:rsidP="00915811">
      <w:pPr>
        <w:rPr>
          <w:lang/>
        </w:rPr>
      </w:pPr>
    </w:p>
    <w:sectPr w:rsidR="00E6011B" w:rsidRPr="009A5491" w:rsidSect="0097349B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F49F6" w14:textId="77777777" w:rsidR="00632451" w:rsidRDefault="00632451" w:rsidP="0008141B">
      <w:r>
        <w:separator/>
      </w:r>
    </w:p>
  </w:endnote>
  <w:endnote w:type="continuationSeparator" w:id="0">
    <w:p w14:paraId="53DC858F" w14:textId="77777777" w:rsidR="00632451" w:rsidRDefault="00632451" w:rsidP="00081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(Body)"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678948999"/>
      <w:docPartObj>
        <w:docPartGallery w:val="Page Numbers (Bottom of Page)"/>
        <w:docPartUnique/>
      </w:docPartObj>
    </w:sdtPr>
    <w:sdtContent>
      <w:p w14:paraId="45E0C651" w14:textId="77777777" w:rsidR="00D0418C" w:rsidRDefault="00D0418C" w:rsidP="0008141B">
        <w:pPr>
          <w:pStyle w:val="Footer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B24F6F4" w14:textId="77777777" w:rsidR="00D0418C" w:rsidRDefault="00D0418C" w:rsidP="000814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567531690"/>
      <w:docPartObj>
        <w:docPartGallery w:val="Page Numbers (Bottom of Page)"/>
        <w:docPartUnique/>
      </w:docPartObj>
    </w:sdtPr>
    <w:sdtContent>
      <w:p w14:paraId="36270035" w14:textId="77777777" w:rsidR="00D0418C" w:rsidRDefault="00D0418C" w:rsidP="0008141B">
        <w:pPr>
          <w:pStyle w:val="Footer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113FD390" w14:textId="77777777" w:rsidR="00EE2370" w:rsidRDefault="00EE2370" w:rsidP="0008141B">
    <w:pPr>
      <w:pStyle w:val="Foot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7DE07E3" wp14:editId="5BE1610F">
          <wp:simplePos x="0" y="0"/>
          <wp:positionH relativeFrom="page">
            <wp:posOffset>35643</wp:posOffset>
          </wp:positionH>
          <wp:positionV relativeFrom="paragraph">
            <wp:posOffset>-135467</wp:posOffset>
          </wp:positionV>
          <wp:extent cx="7735631" cy="751754"/>
          <wp:effectExtent l="0" t="0" r="0" b="0"/>
          <wp:wrapNone/>
          <wp:docPr id="53786307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35631" cy="7517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ED5FC" w14:textId="77777777" w:rsidR="0097349B" w:rsidRDefault="0097349B" w:rsidP="0008141B">
    <w:pPr>
      <w:pStyle w:val="Footer"/>
    </w:pPr>
    <w:r>
      <w:rPr>
        <w:noProof/>
      </w:rPr>
      <w:drawing>
        <wp:anchor distT="0" distB="0" distL="114300" distR="114300" simplePos="0" relativeHeight="251658243" behindDoc="1" locked="0" layoutInCell="1" allowOverlap="1" wp14:anchorId="4458C3E5" wp14:editId="1C5FFEA9">
          <wp:simplePos x="0" y="0"/>
          <wp:positionH relativeFrom="page">
            <wp:posOffset>55118</wp:posOffset>
          </wp:positionH>
          <wp:positionV relativeFrom="paragraph">
            <wp:posOffset>-144780</wp:posOffset>
          </wp:positionV>
          <wp:extent cx="7735631" cy="751754"/>
          <wp:effectExtent l="0" t="0" r="0" b="0"/>
          <wp:wrapNone/>
          <wp:docPr id="36944114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35631" cy="7517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E6A79" w14:textId="77777777" w:rsidR="00632451" w:rsidRDefault="00632451" w:rsidP="0008141B">
      <w:r>
        <w:separator/>
      </w:r>
    </w:p>
  </w:footnote>
  <w:footnote w:type="continuationSeparator" w:id="0">
    <w:p w14:paraId="2D289A29" w14:textId="77777777" w:rsidR="00632451" w:rsidRDefault="00632451" w:rsidP="00081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62D0D" w14:textId="77777777" w:rsidR="00EE2370" w:rsidRDefault="00EE2370" w:rsidP="0008141B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0AFC634" wp14:editId="62537C8D">
          <wp:simplePos x="0" y="0"/>
          <wp:positionH relativeFrom="column">
            <wp:posOffset>-941493</wp:posOffset>
          </wp:positionH>
          <wp:positionV relativeFrom="paragraph">
            <wp:posOffset>-447675</wp:posOffset>
          </wp:positionV>
          <wp:extent cx="7792957" cy="757325"/>
          <wp:effectExtent l="0" t="0" r="0" b="5080"/>
          <wp:wrapNone/>
          <wp:docPr id="199822735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2957" cy="757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8785D" w14:textId="77777777" w:rsidR="0097349B" w:rsidRDefault="0097349B" w:rsidP="0008141B">
    <w:pPr>
      <w:pStyle w:val="Header"/>
    </w:pPr>
    <w:r>
      <w:rPr>
        <w:noProof/>
      </w:rPr>
      <w:drawing>
        <wp:anchor distT="0" distB="0" distL="114300" distR="114300" simplePos="0" relativeHeight="251658242" behindDoc="1" locked="0" layoutInCell="1" allowOverlap="1" wp14:anchorId="7055753B" wp14:editId="197F5125">
          <wp:simplePos x="0" y="0"/>
          <wp:positionH relativeFrom="column">
            <wp:posOffset>-922020</wp:posOffset>
          </wp:positionH>
          <wp:positionV relativeFrom="paragraph">
            <wp:posOffset>-442595</wp:posOffset>
          </wp:positionV>
          <wp:extent cx="7792957" cy="757325"/>
          <wp:effectExtent l="0" t="0" r="0" b="5080"/>
          <wp:wrapNone/>
          <wp:docPr id="43251405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2957" cy="757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ADE1AB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227" w:hanging="22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1F5C91F4"/>
    <w:lvl w:ilvl="0">
      <w:start w:val="1"/>
      <w:numFmt w:val="bullet"/>
      <w:pStyle w:val="ListBullet"/>
      <w:lvlText w:val=""/>
      <w:lvlJc w:val="left"/>
      <w:pPr>
        <w:ind w:left="227" w:hanging="227"/>
      </w:pPr>
      <w:rPr>
        <w:rFonts w:ascii="Symbol" w:hAnsi="Symbol" w:hint="default"/>
      </w:rPr>
    </w:lvl>
  </w:abstractNum>
  <w:abstractNum w:abstractNumId="2" w15:restartNumberingAfterBreak="0">
    <w:nsid w:val="022F706A"/>
    <w:multiLevelType w:val="hybridMultilevel"/>
    <w:tmpl w:val="B31A64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874BD"/>
    <w:multiLevelType w:val="multilevel"/>
    <w:tmpl w:val="823EE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B43B81"/>
    <w:multiLevelType w:val="hybridMultilevel"/>
    <w:tmpl w:val="6DF23F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C1890"/>
    <w:multiLevelType w:val="hybridMultilevel"/>
    <w:tmpl w:val="525601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EE2CEE"/>
    <w:multiLevelType w:val="multilevel"/>
    <w:tmpl w:val="D5140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B57C46"/>
    <w:multiLevelType w:val="hybridMultilevel"/>
    <w:tmpl w:val="AB58BC1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452D7C"/>
    <w:multiLevelType w:val="hybridMultilevel"/>
    <w:tmpl w:val="252EA570"/>
    <w:lvl w:ilvl="0" w:tplc="538215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04410A"/>
    <w:multiLevelType w:val="hybridMultilevel"/>
    <w:tmpl w:val="567AFBF6"/>
    <w:lvl w:ilvl="0" w:tplc="360A65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456189"/>
    <w:multiLevelType w:val="multilevel"/>
    <w:tmpl w:val="357AD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284540"/>
    <w:multiLevelType w:val="multilevel"/>
    <w:tmpl w:val="0409001D"/>
    <w:styleLink w:val="bulle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Times New Roman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00B214A"/>
    <w:multiLevelType w:val="hybridMultilevel"/>
    <w:tmpl w:val="77A0C4D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91CA2"/>
    <w:multiLevelType w:val="hybridMultilevel"/>
    <w:tmpl w:val="6FA44A50"/>
    <w:lvl w:ilvl="0" w:tplc="54AEE6E0">
      <w:start w:val="1"/>
      <w:numFmt w:val="bullet"/>
      <w:lvlText w:val=""/>
      <w:lvlJc w:val="left"/>
      <w:pPr>
        <w:ind w:left="417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5F45FB"/>
    <w:multiLevelType w:val="hybridMultilevel"/>
    <w:tmpl w:val="204426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BC43A9"/>
    <w:multiLevelType w:val="multilevel"/>
    <w:tmpl w:val="C5AE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2E0BA6"/>
    <w:multiLevelType w:val="hybridMultilevel"/>
    <w:tmpl w:val="A54E24D0"/>
    <w:lvl w:ilvl="0" w:tplc="C212CCFE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4472269">
    <w:abstractNumId w:val="11"/>
  </w:num>
  <w:num w:numId="2" w16cid:durableId="1469739765">
    <w:abstractNumId w:val="13"/>
  </w:num>
  <w:num w:numId="3" w16cid:durableId="2087417035">
    <w:abstractNumId w:val="0"/>
  </w:num>
  <w:num w:numId="4" w16cid:durableId="1193572618">
    <w:abstractNumId w:val="1"/>
  </w:num>
  <w:num w:numId="5" w16cid:durableId="4138398">
    <w:abstractNumId w:val="1"/>
    <w:lvlOverride w:ilvl="0">
      <w:startOverride w:val="1"/>
    </w:lvlOverride>
  </w:num>
  <w:num w:numId="6" w16cid:durableId="1044406425">
    <w:abstractNumId w:val="9"/>
  </w:num>
  <w:num w:numId="7" w16cid:durableId="297221964">
    <w:abstractNumId w:val="16"/>
  </w:num>
  <w:num w:numId="8" w16cid:durableId="1975913115">
    <w:abstractNumId w:val="2"/>
  </w:num>
  <w:num w:numId="9" w16cid:durableId="53891838">
    <w:abstractNumId w:val="8"/>
  </w:num>
  <w:num w:numId="10" w16cid:durableId="1689064363">
    <w:abstractNumId w:val="7"/>
  </w:num>
  <w:num w:numId="11" w16cid:durableId="1340353630">
    <w:abstractNumId w:val="12"/>
  </w:num>
  <w:num w:numId="12" w16cid:durableId="1872038242">
    <w:abstractNumId w:val="5"/>
  </w:num>
  <w:num w:numId="13" w16cid:durableId="82070864">
    <w:abstractNumId w:val="4"/>
  </w:num>
  <w:num w:numId="14" w16cid:durableId="2127894519">
    <w:abstractNumId w:val="14"/>
  </w:num>
  <w:num w:numId="15" w16cid:durableId="1109281395">
    <w:abstractNumId w:val="6"/>
  </w:num>
  <w:num w:numId="16" w16cid:durableId="346559169">
    <w:abstractNumId w:val="15"/>
  </w:num>
  <w:num w:numId="17" w16cid:durableId="1908296383">
    <w:abstractNumId w:val="10"/>
  </w:num>
  <w:num w:numId="18" w16cid:durableId="2012852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491"/>
    <w:rsid w:val="00013200"/>
    <w:rsid w:val="00057676"/>
    <w:rsid w:val="000623F7"/>
    <w:rsid w:val="0008141B"/>
    <w:rsid w:val="00085F5E"/>
    <w:rsid w:val="00097AB3"/>
    <w:rsid w:val="00120D74"/>
    <w:rsid w:val="001324CB"/>
    <w:rsid w:val="00142C10"/>
    <w:rsid w:val="001825C9"/>
    <w:rsid w:val="00193CF2"/>
    <w:rsid w:val="001B1260"/>
    <w:rsid w:val="001C4891"/>
    <w:rsid w:val="00262F42"/>
    <w:rsid w:val="002B1A70"/>
    <w:rsid w:val="0030327B"/>
    <w:rsid w:val="00304C57"/>
    <w:rsid w:val="00325D29"/>
    <w:rsid w:val="00347CD3"/>
    <w:rsid w:val="003753D4"/>
    <w:rsid w:val="00391225"/>
    <w:rsid w:val="004325DA"/>
    <w:rsid w:val="00446026"/>
    <w:rsid w:val="0048491F"/>
    <w:rsid w:val="00505ED1"/>
    <w:rsid w:val="00542A91"/>
    <w:rsid w:val="00575ADC"/>
    <w:rsid w:val="00580F99"/>
    <w:rsid w:val="00584DC3"/>
    <w:rsid w:val="005B7AE2"/>
    <w:rsid w:val="005C3D2B"/>
    <w:rsid w:val="00632451"/>
    <w:rsid w:val="0063545B"/>
    <w:rsid w:val="00635D52"/>
    <w:rsid w:val="00651BF1"/>
    <w:rsid w:val="006A30D9"/>
    <w:rsid w:val="006E5E4E"/>
    <w:rsid w:val="006F0B36"/>
    <w:rsid w:val="007332EA"/>
    <w:rsid w:val="007512B8"/>
    <w:rsid w:val="007817CC"/>
    <w:rsid w:val="00790B19"/>
    <w:rsid w:val="007C2A40"/>
    <w:rsid w:val="007E1439"/>
    <w:rsid w:val="00843781"/>
    <w:rsid w:val="008B4096"/>
    <w:rsid w:val="00915811"/>
    <w:rsid w:val="0097349B"/>
    <w:rsid w:val="009A0985"/>
    <w:rsid w:val="009A47AE"/>
    <w:rsid w:val="009A5491"/>
    <w:rsid w:val="009D1FB1"/>
    <w:rsid w:val="00A6024D"/>
    <w:rsid w:val="00A8684C"/>
    <w:rsid w:val="00A9573B"/>
    <w:rsid w:val="00AA20DD"/>
    <w:rsid w:val="00B16204"/>
    <w:rsid w:val="00B409E6"/>
    <w:rsid w:val="00C15C01"/>
    <w:rsid w:val="00C37504"/>
    <w:rsid w:val="00C53ACB"/>
    <w:rsid w:val="00CE5D43"/>
    <w:rsid w:val="00CF690E"/>
    <w:rsid w:val="00D0418C"/>
    <w:rsid w:val="00D472C1"/>
    <w:rsid w:val="00D57E2F"/>
    <w:rsid w:val="00D848F1"/>
    <w:rsid w:val="00D973D2"/>
    <w:rsid w:val="00DB3D7B"/>
    <w:rsid w:val="00DC0376"/>
    <w:rsid w:val="00DF1C99"/>
    <w:rsid w:val="00DF2B2D"/>
    <w:rsid w:val="00E510A2"/>
    <w:rsid w:val="00E6011B"/>
    <w:rsid w:val="00E81CFA"/>
    <w:rsid w:val="00EE172F"/>
    <w:rsid w:val="00EE2370"/>
    <w:rsid w:val="00F679DA"/>
    <w:rsid w:val="00F97F47"/>
    <w:rsid w:val="00FD4325"/>
    <w:rsid w:val="00FF5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59790"/>
  <w15:chartTrackingRefBased/>
  <w15:docId w15:val="{437156E3-015C-7448-A0BB-730242F80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41B"/>
    <w:pPr>
      <w:jc w:val="both"/>
    </w:pPr>
    <w:rPr>
      <w:rFonts w:ascii="Calibri" w:hAnsi="Calibri"/>
      <w:sz w:val="22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D7B"/>
    <w:pPr>
      <w:keepNext/>
      <w:keepLines/>
      <w:spacing w:before="80" w:after="80"/>
      <w:outlineLvl w:val="0"/>
    </w:pPr>
    <w:rPr>
      <w:rFonts w:eastAsiaTheme="majorEastAsia" w:cs="Calibri"/>
      <w:b/>
      <w:bCs/>
      <w:color w:val="1F3864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C0376"/>
    <w:pPr>
      <w:keepNext/>
      <w:keepLines/>
      <w:spacing w:before="60"/>
      <w:outlineLvl w:val="1"/>
    </w:pPr>
    <w:rPr>
      <w:rFonts w:eastAsiaTheme="majorEastAsia" w:cstheme="majorBidi"/>
      <w:b/>
      <w:color w:val="1F3864"/>
      <w:sz w:val="24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0376"/>
    <w:pPr>
      <w:keepNext/>
      <w:keepLines/>
      <w:spacing w:before="60"/>
      <w:outlineLvl w:val="2"/>
    </w:pPr>
    <w:rPr>
      <w:rFonts w:eastAsiaTheme="majorEastAsia" w:cstheme="majorBidi"/>
      <w:b/>
      <w:color w:val="395C9B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3781"/>
    <w:pPr>
      <w:keepNext/>
      <w:keepLines/>
      <w:spacing w:before="60"/>
      <w:outlineLvl w:val="3"/>
    </w:pPr>
    <w:rPr>
      <w:rFonts w:eastAsiaTheme="majorEastAsia" w:cstheme="majorBidi"/>
      <w:i/>
      <w:iCs/>
      <w:color w:val="4B742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3781"/>
    <w:pPr>
      <w:keepNext/>
      <w:keepLines/>
      <w:spacing w:before="60"/>
      <w:outlineLvl w:val="4"/>
    </w:pPr>
    <w:rPr>
      <w:rFonts w:eastAsiaTheme="majorEastAsia" w:cstheme="majorBidi"/>
      <w:i/>
      <w:color w:val="578837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085F5E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085F5E"/>
    <w:pPr>
      <w:keepNext/>
      <w:keepLines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085F5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085F5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ullet">
    <w:name w:val="bullet"/>
    <w:basedOn w:val="NoList"/>
    <w:uiPriority w:val="99"/>
    <w:rsid w:val="00391225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EE23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2370"/>
    <w:rPr>
      <w:rFonts w:ascii="Calibri" w:hAnsi="Calibri"/>
      <w:sz w:val="22"/>
    </w:rPr>
  </w:style>
  <w:style w:type="paragraph" w:styleId="Caption">
    <w:name w:val="caption"/>
    <w:basedOn w:val="Normal"/>
    <w:next w:val="Normal"/>
    <w:uiPriority w:val="35"/>
    <w:semiHidden/>
    <w:unhideWhenUsed/>
    <w:rsid w:val="00B16204"/>
    <w:pPr>
      <w:spacing w:after="200"/>
    </w:pPr>
    <w:rPr>
      <w:i/>
      <w:iCs/>
      <w:color w:val="0E2841" w:themeColor="text2"/>
      <w:sz w:val="18"/>
      <w:szCs w:val="18"/>
    </w:rPr>
  </w:style>
  <w:style w:type="table" w:customStyle="1" w:styleId="EktimisiTable">
    <w:name w:val="Ektimisi Table"/>
    <w:basedOn w:val="TableGrid"/>
    <w:uiPriority w:val="99"/>
    <w:rsid w:val="00D0418C"/>
    <w:rPr>
      <w:rFonts w:ascii="Calibri" w:hAnsi="Calibri" w:cs="Calibri (Body)"/>
      <w:kern w:val="0"/>
      <w:sz w:val="22"/>
      <w:szCs w:val="22"/>
      <w:lang w:eastAsia="fr-FR"/>
      <w14:ligatures w14:val="none"/>
    </w:rPr>
    <w:tblPr>
      <w:tblStyleRowBandSize w:val="3"/>
      <w:tblStyleColBandSize w:val="1"/>
      <w:tblBorders>
        <w:top w:val="dotDotDash" w:sz="12" w:space="0" w:color="FFFFFF" w:themeColor="background1"/>
        <w:left w:val="dotDotDash" w:sz="12" w:space="0" w:color="FFFFFF" w:themeColor="background1"/>
        <w:bottom w:val="dotDotDash" w:sz="12" w:space="0" w:color="FFFFFF" w:themeColor="background1"/>
        <w:right w:val="dotDotDash" w:sz="12" w:space="0" w:color="FFFFFF" w:themeColor="background1"/>
        <w:insideH w:val="dotDotDash" w:sz="12" w:space="0" w:color="FFFFFF" w:themeColor="background1"/>
        <w:insideV w:val="dotDotDash" w:sz="12" w:space="0" w:color="FFFFFF" w:themeColor="background1"/>
      </w:tblBorders>
    </w:tblPr>
    <w:tcPr>
      <w:shd w:val="clear" w:color="auto" w:fill="D9F2D0" w:themeFill="accent6" w:themeFillTint="33"/>
      <w:vAlign w:val="center"/>
    </w:tcPr>
    <w:tblStylePr w:type="firstRow">
      <w:pPr>
        <w:wordWrap/>
        <w:spacing w:line="240" w:lineRule="auto"/>
        <w:jc w:val="left"/>
      </w:pPr>
      <w:rPr>
        <w:rFonts w:ascii="Calibri" w:hAnsi="Calibri" w:cs="Calibri"/>
        <w:b/>
        <w:bCs/>
        <w:i w:val="0"/>
        <w:iCs w:val="0"/>
        <w:color w:val="FFFFFF" w:themeColor="background1"/>
        <w:sz w:val="24"/>
        <w:szCs w:val="24"/>
      </w:rPr>
      <w:tblPr/>
      <w:tcPr>
        <w:tcBorders>
          <w:top w:val="dotDotDash" w:sz="12" w:space="0" w:color="FFFFFF" w:themeColor="background1"/>
          <w:left w:val="dotDotDash" w:sz="12" w:space="0" w:color="FFFFFF" w:themeColor="background1"/>
          <w:bottom w:val="dotDotDash" w:sz="12" w:space="0" w:color="FFFFFF" w:themeColor="background1"/>
          <w:right w:val="dotDotDash" w:sz="12" w:space="0" w:color="FFFFFF" w:themeColor="background1"/>
          <w:insideH w:val="dotDotDash" w:sz="12" w:space="0" w:color="FFFFFF" w:themeColor="background1"/>
          <w:insideV w:val="dotDotDash" w:sz="12" w:space="0" w:color="FFFFFF" w:themeColor="background1"/>
        </w:tcBorders>
        <w:shd w:val="clear" w:color="auto" w:fill="276390"/>
      </w:tcPr>
    </w:tblStylePr>
    <w:tblStylePr w:type="lastRow">
      <w:rPr>
        <w:rFonts w:ascii="Calibri" w:hAnsi="Calibri"/>
        <w:b/>
        <w:bCs/>
        <w:i w:val="0"/>
        <w:color w:val="auto"/>
        <w:sz w:val="24"/>
      </w:rPr>
      <w:tblPr/>
      <w:tcPr>
        <w:shd w:val="clear" w:color="auto" w:fill="DAF2D0"/>
      </w:tcPr>
    </w:tblStylePr>
    <w:tblStylePr w:type="firstCol">
      <w:rPr>
        <w:rFonts w:ascii="Calibri" w:hAnsi="Calibri"/>
        <w:b/>
        <w:i w:val="0"/>
      </w:rPr>
    </w:tblStylePr>
    <w:tblStylePr w:type="lastCol">
      <w:rPr>
        <w:rFonts w:ascii="Calibri" w:hAnsi="Calibri"/>
        <w:b w:val="0"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ascii="Calibri" w:hAnsi="Calibri"/>
        <w:b w:val="0"/>
        <w:i w:val="0"/>
        <w:color w:val="auto"/>
      </w:rPr>
      <w:tblPr/>
      <w:tcPr>
        <w:shd w:val="pct50" w:color="008080" w:fill="FFFFFF"/>
      </w:tcPr>
    </w:tblStylePr>
    <w:tblStylePr w:type="band2Vert">
      <w:rPr>
        <w:rFonts w:ascii="Calibri" w:hAnsi="Calibri"/>
        <w:b w:val="0"/>
        <w:i w:val="0"/>
        <w:color w:val="auto"/>
      </w:rPr>
      <w:tblPr/>
      <w:tcPr>
        <w:shd w:val="pct10" w:color="000000" w:fill="FFFFFF"/>
      </w:tcPr>
    </w:tblStylePr>
    <w:tblStylePr w:type="band1Horz">
      <w:rPr>
        <w:rFonts w:ascii="Calibri" w:hAnsi="Calibri"/>
        <w:b w:val="0"/>
        <w:i w:val="0"/>
      </w:rPr>
      <w:tblPr/>
      <w:tcPr>
        <w:shd w:val="clear" w:color="auto" w:fill="DAF2D0"/>
      </w:tcPr>
    </w:tblStylePr>
    <w:tblStylePr w:type="band2Horz">
      <w:rPr>
        <w:rFonts w:ascii="Calibri" w:hAnsi="Calibri"/>
        <w:b w:val="0"/>
        <w:i w:val="0"/>
      </w:rPr>
      <w:tblPr/>
      <w:tcPr>
        <w:shd w:val="clear" w:color="auto" w:fill="DAF2D0"/>
      </w:tcPr>
    </w:tblStylePr>
    <w:tblStylePr w:type="neCell">
      <w:rPr>
        <w:rFonts w:ascii="Calibri" w:hAnsi="Calibri"/>
        <w:b/>
        <w:i w:val="0"/>
        <w:color w:val="FFFFFF" w:themeColor="background1"/>
      </w:rPr>
    </w:tblStylePr>
    <w:tblStylePr w:type="nwCell">
      <w:rPr>
        <w:rFonts w:ascii="Calibri" w:hAnsi="Calibri"/>
        <w:b/>
        <w:i w:val="0"/>
        <w:color w:val="FFFFFF" w:themeColor="background1"/>
      </w:rPr>
    </w:tblStylePr>
    <w:tblStylePr w:type="seCell">
      <w:rPr>
        <w:rFonts w:ascii="Calibri" w:hAnsi="Calibri"/>
        <w:b/>
        <w:i w:val="0"/>
      </w:rPr>
    </w:tblStylePr>
    <w:tblStylePr w:type="swCell">
      <w:rPr>
        <w:rFonts w:ascii="Calibri" w:hAnsi="Calibri"/>
        <w:b/>
        <w:i w:val="0"/>
        <w:sz w:val="22"/>
      </w:rPr>
    </w:tblStylePr>
  </w:style>
  <w:style w:type="table" w:styleId="TableColumns4">
    <w:name w:val="Table Columns 4"/>
    <w:basedOn w:val="TableNormal"/>
    <w:uiPriority w:val="99"/>
    <w:semiHidden/>
    <w:unhideWhenUsed/>
    <w:rsid w:val="00DF1C99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character" w:styleId="SubtleEmphasis">
    <w:name w:val="Subtle Emphasis"/>
    <w:basedOn w:val="DefaultParagraphFont"/>
    <w:uiPriority w:val="19"/>
    <w:rsid w:val="00B16204"/>
    <w:rPr>
      <w:i/>
      <w:iCs/>
      <w:color w:val="404040" w:themeColor="text1" w:themeTint="BF"/>
    </w:rPr>
  </w:style>
  <w:style w:type="paragraph" w:styleId="ListNumber">
    <w:name w:val="List Number"/>
    <w:basedOn w:val="Normal"/>
    <w:uiPriority w:val="99"/>
    <w:unhideWhenUsed/>
    <w:qFormat/>
    <w:rsid w:val="006E5E4E"/>
    <w:pPr>
      <w:numPr>
        <w:numId w:val="3"/>
      </w:numPr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B3D7B"/>
    <w:rPr>
      <w:rFonts w:ascii="Calibri" w:eastAsiaTheme="majorEastAsia" w:hAnsi="Calibri" w:cs="Calibri"/>
      <w:b/>
      <w:bCs/>
      <w:color w:val="1F3864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C0376"/>
    <w:rPr>
      <w:rFonts w:ascii="Calibri" w:eastAsiaTheme="majorEastAsia" w:hAnsi="Calibri" w:cstheme="majorBidi"/>
      <w:b/>
      <w:color w:val="1F3864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C0376"/>
    <w:rPr>
      <w:rFonts w:ascii="Calibri" w:eastAsiaTheme="majorEastAsia" w:hAnsi="Calibri" w:cstheme="majorBidi"/>
      <w:b/>
      <w:color w:val="395C9B"/>
      <w:sz w:val="2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43781"/>
    <w:rPr>
      <w:rFonts w:ascii="Calibri" w:eastAsiaTheme="majorEastAsia" w:hAnsi="Calibri" w:cstheme="majorBidi"/>
      <w:i/>
      <w:iCs/>
      <w:color w:val="4B742F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rsid w:val="00843781"/>
    <w:rPr>
      <w:rFonts w:ascii="Calibri" w:eastAsiaTheme="majorEastAsia" w:hAnsi="Calibri" w:cstheme="majorBidi"/>
      <w:i/>
      <w:color w:val="578837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85F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85F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85F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85F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30D9"/>
    <w:pPr>
      <w:spacing w:before="240" w:after="240"/>
      <w:contextualSpacing/>
      <w:jc w:val="center"/>
    </w:pPr>
    <w:rPr>
      <w:rFonts w:eastAsiaTheme="majorEastAsia" w:cstheme="majorBidi"/>
      <w:b/>
      <w:color w:val="266390"/>
      <w:spacing w:val="-10"/>
      <w:kern w:val="28"/>
      <w:sz w:val="4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30D9"/>
    <w:rPr>
      <w:rFonts w:ascii="Calibri" w:eastAsiaTheme="majorEastAsia" w:hAnsi="Calibri" w:cstheme="majorBidi"/>
      <w:b/>
      <w:color w:val="266390"/>
      <w:spacing w:val="-10"/>
      <w:kern w:val="28"/>
      <w:sz w:val="40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085F5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85F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rsid w:val="00085F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5F5E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rsid w:val="00085F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rsid w:val="00085F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5F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rsid w:val="00085F5E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link w:val="NoSpacingChar"/>
    <w:uiPriority w:val="1"/>
    <w:rsid w:val="00085F5E"/>
    <w:rPr>
      <w:rFonts w:eastAsiaTheme="minorEastAsia"/>
      <w:kern w:val="0"/>
      <w:sz w:val="22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085F5E"/>
    <w:rPr>
      <w:rFonts w:eastAsiaTheme="minorEastAsia"/>
      <w:kern w:val="0"/>
      <w:sz w:val="22"/>
      <w:szCs w:val="22"/>
      <w:lang w:val="en-US" w:eastAsia="zh-C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E23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2370"/>
    <w:rPr>
      <w:rFonts w:ascii="Calibri" w:hAnsi="Calibri"/>
      <w:sz w:val="22"/>
    </w:rPr>
  </w:style>
  <w:style w:type="paragraph" w:styleId="TOCHeading">
    <w:name w:val="TOC Heading"/>
    <w:basedOn w:val="Heading1"/>
    <w:next w:val="Normal"/>
    <w:uiPriority w:val="39"/>
    <w:unhideWhenUsed/>
    <w:rsid w:val="00DC0376"/>
    <w:pPr>
      <w:spacing w:before="480" w:after="0" w:line="276" w:lineRule="auto"/>
      <w:outlineLvl w:val="9"/>
    </w:pPr>
    <w:rPr>
      <w:rFonts w:asciiTheme="majorHAnsi" w:hAnsiTheme="majorHAnsi"/>
      <w:bCs w:val="0"/>
      <w:color w:val="0F4761" w:themeColor="accent1" w:themeShade="BF"/>
      <w:kern w:val="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DC0376"/>
    <w:pPr>
      <w:spacing w:before="120"/>
    </w:pPr>
    <w:rPr>
      <w:rFonts w:asciiTheme="minorHAnsi" w:hAnsiTheme="minorHAnsi" w:cs="Times New Roman"/>
      <w:b/>
      <w:bCs/>
      <w:i/>
      <w:iCs/>
      <w:sz w:val="24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DC0376"/>
    <w:pPr>
      <w:spacing w:before="120"/>
      <w:ind w:left="220"/>
    </w:pPr>
    <w:rPr>
      <w:rFonts w:asciiTheme="minorHAnsi" w:hAnsiTheme="minorHAnsi" w:cs="Times New Roman"/>
      <w:b/>
      <w:bCs/>
      <w:szCs w:val="26"/>
    </w:rPr>
  </w:style>
  <w:style w:type="paragraph" w:styleId="TOC3">
    <w:name w:val="toc 3"/>
    <w:basedOn w:val="Normal"/>
    <w:next w:val="Normal"/>
    <w:autoRedefine/>
    <w:uiPriority w:val="39"/>
    <w:unhideWhenUsed/>
    <w:rsid w:val="00DC0376"/>
    <w:pPr>
      <w:ind w:left="440"/>
    </w:pPr>
    <w:rPr>
      <w:rFonts w:asciiTheme="minorHAnsi" w:hAnsiTheme="minorHAnsi" w:cs="Times New Roman"/>
      <w:sz w:val="20"/>
    </w:rPr>
  </w:style>
  <w:style w:type="character" w:styleId="Hyperlink">
    <w:name w:val="Hyperlink"/>
    <w:basedOn w:val="DefaultParagraphFont"/>
    <w:uiPriority w:val="99"/>
    <w:unhideWhenUsed/>
    <w:rsid w:val="00DC0376"/>
    <w:rPr>
      <w:color w:val="467886" w:themeColor="hyperlink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DC0376"/>
    <w:pPr>
      <w:ind w:left="660"/>
    </w:pPr>
    <w:rPr>
      <w:rFonts w:asciiTheme="minorHAnsi" w:hAnsiTheme="minorHAnsi" w:cs="Times New Roman"/>
      <w:sz w:val="20"/>
    </w:rPr>
  </w:style>
  <w:style w:type="paragraph" w:styleId="TOC5">
    <w:name w:val="toc 5"/>
    <w:basedOn w:val="Normal"/>
    <w:next w:val="Normal"/>
    <w:autoRedefine/>
    <w:uiPriority w:val="39"/>
    <w:unhideWhenUsed/>
    <w:rsid w:val="00DC0376"/>
    <w:pPr>
      <w:ind w:left="880"/>
    </w:pPr>
    <w:rPr>
      <w:rFonts w:asciiTheme="minorHAnsi" w:hAnsiTheme="minorHAnsi" w:cs="Times New Roman"/>
      <w:sz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C0376"/>
    <w:pPr>
      <w:ind w:left="1100"/>
    </w:pPr>
    <w:rPr>
      <w:rFonts w:asciiTheme="minorHAnsi" w:hAnsiTheme="minorHAnsi" w:cs="Times New Roman"/>
      <w:sz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C0376"/>
    <w:pPr>
      <w:ind w:left="1320"/>
    </w:pPr>
    <w:rPr>
      <w:rFonts w:asciiTheme="minorHAnsi" w:hAnsiTheme="minorHAnsi" w:cs="Times New Roman"/>
      <w:sz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C0376"/>
    <w:pPr>
      <w:ind w:left="1540"/>
    </w:pPr>
    <w:rPr>
      <w:rFonts w:asciiTheme="minorHAnsi" w:hAnsiTheme="minorHAnsi" w:cs="Times New Roman"/>
      <w:sz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C0376"/>
    <w:pPr>
      <w:ind w:left="1760"/>
    </w:pPr>
    <w:rPr>
      <w:rFonts w:asciiTheme="minorHAnsi" w:hAnsiTheme="minorHAnsi" w:cs="Times New Roman"/>
      <w:sz w:val="20"/>
    </w:rPr>
  </w:style>
  <w:style w:type="paragraph" w:customStyle="1" w:styleId="NormalBold">
    <w:name w:val="Normal Bold"/>
    <w:basedOn w:val="Normal"/>
    <w:next w:val="Normal"/>
    <w:qFormat/>
    <w:rsid w:val="00843781"/>
    <w:rPr>
      <w:b/>
    </w:rPr>
  </w:style>
  <w:style w:type="paragraph" w:styleId="List5">
    <w:name w:val="List 5"/>
    <w:basedOn w:val="Normal"/>
    <w:uiPriority w:val="99"/>
    <w:unhideWhenUsed/>
    <w:rsid w:val="00843781"/>
    <w:pPr>
      <w:ind w:left="1415" w:hanging="283"/>
      <w:contextualSpacing/>
    </w:pPr>
  </w:style>
  <w:style w:type="paragraph" w:styleId="ListBullet">
    <w:name w:val="List Bullet"/>
    <w:basedOn w:val="Normal"/>
    <w:uiPriority w:val="99"/>
    <w:unhideWhenUsed/>
    <w:qFormat/>
    <w:rsid w:val="006E5E4E"/>
    <w:pPr>
      <w:numPr>
        <w:numId w:val="4"/>
      </w:numPr>
      <w:contextualSpacing/>
    </w:pPr>
  </w:style>
  <w:style w:type="table" w:styleId="TableGrid">
    <w:name w:val="Table Grid"/>
    <w:basedOn w:val="TableNormal"/>
    <w:uiPriority w:val="39"/>
    <w:rsid w:val="006E5E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D0418C"/>
  </w:style>
  <w:style w:type="character" w:styleId="Emphasis">
    <w:name w:val="Emphasis"/>
    <w:basedOn w:val="DefaultParagraphFont"/>
    <w:uiPriority w:val="20"/>
    <w:rsid w:val="00B16204"/>
    <w:rPr>
      <w:i/>
      <w:iCs/>
    </w:rPr>
  </w:style>
  <w:style w:type="character" w:styleId="Strong">
    <w:name w:val="Strong"/>
    <w:basedOn w:val="DefaultParagraphFont"/>
    <w:uiPriority w:val="22"/>
    <w:qFormat/>
    <w:rsid w:val="00B16204"/>
    <w:rPr>
      <w:b/>
      <w:bCs/>
    </w:rPr>
  </w:style>
  <w:style w:type="character" w:styleId="SubtleReference">
    <w:name w:val="Subtle Reference"/>
    <w:basedOn w:val="DefaultParagraphFont"/>
    <w:uiPriority w:val="31"/>
    <w:rsid w:val="00B16204"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rsid w:val="00B16204"/>
    <w:rPr>
      <w:b/>
      <w:bCs/>
      <w:i/>
      <w:iCs/>
      <w:spacing w:val="5"/>
    </w:rPr>
  </w:style>
  <w:style w:type="paragraph" w:styleId="Bibliography">
    <w:name w:val="Bibliography"/>
    <w:basedOn w:val="Normal"/>
    <w:next w:val="Normal"/>
    <w:uiPriority w:val="37"/>
    <w:semiHidden/>
    <w:unhideWhenUsed/>
    <w:rsid w:val="00B16204"/>
  </w:style>
  <w:style w:type="paragraph" w:styleId="BalloonText">
    <w:name w:val="Balloon Text"/>
    <w:basedOn w:val="Normal"/>
    <w:link w:val="BalloonTextChar"/>
    <w:uiPriority w:val="99"/>
    <w:semiHidden/>
    <w:unhideWhenUsed/>
    <w:rsid w:val="00B16204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204"/>
    <w:rPr>
      <w:rFonts w:ascii="Times New Roman" w:hAnsi="Times New Roman" w:cs="Times New Roman"/>
      <w:sz w:val="18"/>
      <w:szCs w:val="18"/>
    </w:rPr>
  </w:style>
  <w:style w:type="paragraph" w:styleId="BlockText">
    <w:name w:val="Block Text"/>
    <w:basedOn w:val="Normal"/>
    <w:uiPriority w:val="99"/>
    <w:semiHidden/>
    <w:unhideWhenUsed/>
    <w:rsid w:val="00B16204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ind w:left="1152" w:right="1152"/>
    </w:pPr>
    <w:rPr>
      <w:rFonts w:asciiTheme="minorHAnsi" w:eastAsiaTheme="minorEastAsia" w:hAnsiTheme="minorHAnsi"/>
      <w:i/>
      <w:iCs/>
      <w:color w:val="156082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B1620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16204"/>
    <w:rPr>
      <w:rFonts w:ascii="Calibri" w:hAnsi="Calibri"/>
      <w:sz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B1620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16204"/>
    <w:rPr>
      <w:rFonts w:ascii="Calibri" w:hAnsi="Calibri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B16204"/>
    <w:pPr>
      <w:spacing w:after="6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B16204"/>
    <w:rPr>
      <w:rFonts w:ascii="Calibri" w:hAnsi="Calibri"/>
      <w:sz w:val="2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1620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16204"/>
    <w:rPr>
      <w:rFonts w:ascii="Calibri" w:hAnsi="Calibri"/>
      <w:sz w:val="22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B16204"/>
    <w:pPr>
      <w:spacing w:after="6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16204"/>
    <w:rPr>
      <w:rFonts w:ascii="Calibri" w:hAnsi="Calibri"/>
      <w:sz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1620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16204"/>
    <w:rPr>
      <w:rFonts w:ascii="Calibri" w:hAnsi="Calibri"/>
      <w:sz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1620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16204"/>
    <w:rPr>
      <w:rFonts w:ascii="Calibri" w:hAnsi="Calibri"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B1620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B16204"/>
    <w:rPr>
      <w:rFonts w:ascii="Calibri" w:hAnsi="Calibri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1620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1825C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9573B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/>
      <w:kern w:val="0"/>
      <w:szCs w:val="22"/>
      <w14:ligatures w14:val="none"/>
    </w:rPr>
  </w:style>
  <w:style w:type="table" w:styleId="TableGridLight">
    <w:name w:val="Grid Table Light"/>
    <w:basedOn w:val="TableNormal"/>
    <w:uiPriority w:val="40"/>
    <w:rsid w:val="00A9573B"/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9A5491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lang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0623F7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6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5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21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34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17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644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12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82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20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4786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54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4039372">
                              <w:blockQuote w:val="1"/>
                              <w:marLeft w:val="96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6" w:color="CCCCCC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540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527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792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4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7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4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116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789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6516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96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15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034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3438455">
                              <w:blockQuote w:val="1"/>
                              <w:marLeft w:val="96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6" w:color="CCCCCC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0396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4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368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1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orms.gle/13rbY1R2bzKFtvM59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66a0060-47b9-4441-b899-f255a3fbe425" xsi:nil="true"/>
    <lcf76f155ced4ddcb4097134ff3c332f xmlns="32675eac-2e5c-469e-b99c-64a1d3fe4b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7D781DABFC8343AB37187E9CFC99B7" ma:contentTypeVersion="14" ma:contentTypeDescription="Create a new document." ma:contentTypeScope="" ma:versionID="4e2fbbc2ddad5db8d6e28399843348c1">
  <xsd:schema xmlns:xsd="http://www.w3.org/2001/XMLSchema" xmlns:xs="http://www.w3.org/2001/XMLSchema" xmlns:p="http://schemas.microsoft.com/office/2006/metadata/properties" xmlns:ns2="32675eac-2e5c-469e-b99c-64a1d3fe4bff" xmlns:ns3="c66a0060-47b9-4441-b899-f255a3fbe425" targetNamespace="http://schemas.microsoft.com/office/2006/metadata/properties" ma:root="true" ma:fieldsID="87333412140535a8f4bd4842022b4f2c" ns2:_="" ns3:_="">
    <xsd:import namespace="32675eac-2e5c-469e-b99c-64a1d3fe4bff"/>
    <xsd:import namespace="c66a0060-47b9-4441-b899-f255a3fbe4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675eac-2e5c-469e-b99c-64a1d3fe4b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a34c8b1-5ddc-41cd-9d6b-d45b3ab94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a0060-47b9-4441-b899-f255a3fbe4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21bc1e0-26a9-4196-9f58-104597677a23}" ma:internalName="TaxCatchAll" ma:showField="CatchAllData" ma:web="c66a0060-47b9-4441-b899-f255a3fbe4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9B1902-F6B8-8346-BC3D-70D8625C76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C3DE89-CABB-4236-933F-D312EEE43FB6}">
  <ds:schemaRefs>
    <ds:schemaRef ds:uri="http://schemas.microsoft.com/office/2006/metadata/properties"/>
    <ds:schemaRef ds:uri="http://schemas.microsoft.com/office/infopath/2007/PartnerControls"/>
    <ds:schemaRef ds:uri="c66a0060-47b9-4441-b899-f255a3fbe425"/>
    <ds:schemaRef ds:uri="32675eac-2e5c-469e-b99c-64a1d3fe4bff"/>
  </ds:schemaRefs>
</ds:datastoreItem>
</file>

<file path=customXml/itemProps3.xml><?xml version="1.0" encoding="utf-8"?>
<ds:datastoreItem xmlns:ds="http://schemas.openxmlformats.org/officeDocument/2006/customXml" ds:itemID="{EC1ED20B-DC2A-41AA-B860-8F94D2209C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675eac-2e5c-469e-b99c-64a1d3fe4bff"/>
    <ds:schemaRef ds:uri="c66a0060-47b9-4441-b899-f255a3fbe4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9C821D-6F6F-4A42-BC4E-F33CAF9E1A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848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K</dc:creator>
  <cp:keywords/>
  <dc:description/>
  <cp:lastModifiedBy>Natia Meladze</cp:lastModifiedBy>
  <cp:revision>8</cp:revision>
  <cp:lastPrinted>2025-07-03T17:49:00Z</cp:lastPrinted>
  <dcterms:created xsi:type="dcterms:W3CDTF">2026-03-27T18:42:00Z</dcterms:created>
  <dcterms:modified xsi:type="dcterms:W3CDTF">2026-04-16T07:51:00Z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0x010100BB7D781DABFC8343AB37187E9CFC99B7</vt:lpwstr>
  </property>
  <property fmtid="{D5CDD505-2E9C-101B-9397-08002B2CF9AE}" pid="3" name="MediaServiceImageTags">
    <vt:lpwstr/>
  </property>
</Properties>
</file>